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Layout w:type="fixed"/>
        <w:tblCellMar>
          <w:left w:w="10" w:type="dxa"/>
          <w:right w:w="10" w:type="dxa"/>
        </w:tblCellMar>
        <w:tblLook w:val="04A0" w:firstRow="1" w:lastRow="0" w:firstColumn="1" w:lastColumn="0" w:noHBand="0" w:noVBand="1"/>
      </w:tblPr>
      <w:tblGrid>
        <w:gridCol w:w="9636"/>
      </w:tblGrid>
      <w:tr w:rsidR="00F66F67">
        <w:trPr>
          <w:trHeight w:val="64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6F67" w:rsidRDefault="00980652">
            <w:pPr>
              <w:pStyle w:val="Standard"/>
              <w:spacing w:after="0" w:line="240" w:lineRule="exact"/>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BİLECİK MESLEKİ VE TEKNİK ANADOLU LİSESİ</w:t>
            </w:r>
          </w:p>
          <w:p w:rsidR="00F66F67" w:rsidRDefault="00A53EE2">
            <w:pPr>
              <w:pStyle w:val="Standard"/>
              <w:spacing w:after="0" w:line="240" w:lineRule="exact"/>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201..-201..</w:t>
            </w:r>
            <w:r w:rsidR="00980652">
              <w:rPr>
                <w:rFonts w:ascii="Times New Roman" w:eastAsia="Times New Roman" w:hAnsi="Times New Roman" w:cs="Times New Roman"/>
                <w:b/>
                <w:lang w:eastAsia="tr-TR"/>
              </w:rPr>
              <w:t xml:space="preserve"> EĞİTİM ÖĞRETİM YILI SENE BAŞI ZÜMRE ÖĞRETMENLER KURULU</w:t>
            </w:r>
          </w:p>
        </w:tc>
      </w:tr>
    </w:tbl>
    <w:p w:rsidR="00F66F67" w:rsidRDefault="00F66F67">
      <w:pPr>
        <w:spacing w:after="0"/>
        <w:rPr>
          <w:vanish/>
        </w:rPr>
      </w:pPr>
    </w:p>
    <w:tbl>
      <w:tblPr>
        <w:tblW w:w="9636" w:type="dxa"/>
        <w:tblLayout w:type="fixed"/>
        <w:tblCellMar>
          <w:left w:w="10" w:type="dxa"/>
          <w:right w:w="10" w:type="dxa"/>
        </w:tblCellMar>
        <w:tblLook w:val="04A0" w:firstRow="1" w:lastRow="0" w:firstColumn="1" w:lastColumn="0" w:noHBand="0" w:noVBand="1"/>
      </w:tblPr>
      <w:tblGrid>
        <w:gridCol w:w="1755"/>
        <w:gridCol w:w="4425"/>
        <w:gridCol w:w="1740"/>
        <w:gridCol w:w="1716"/>
      </w:tblGrid>
      <w:tr w:rsidR="00F66F67">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Default="00980652">
            <w:pPr>
              <w:pStyle w:val="AralkYok"/>
              <w:rPr>
                <w:rFonts w:ascii="Times New Roman" w:hAnsi="Times New Roman" w:cs="Times New Roman"/>
              </w:rPr>
            </w:pPr>
            <w:r>
              <w:rPr>
                <w:rFonts w:ascii="Times New Roman" w:hAnsi="Times New Roman" w:cs="Times New Roman"/>
              </w:rPr>
              <w:t>Zümre 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Default="00F66F67">
            <w:pPr>
              <w:pStyle w:val="AralkYok"/>
              <w:rPr>
                <w:rFonts w:ascii="Times New Roman" w:hAnsi="Times New Roman" w:cs="Times New Roman"/>
              </w:rPr>
            </w:pP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66F67" w:rsidRDefault="00980652">
            <w:pPr>
              <w:pStyle w:val="AralkYok"/>
              <w:rPr>
                <w:rFonts w:ascii="Times New Roman" w:hAnsi="Times New Roman" w:cs="Times New Roman"/>
              </w:rPr>
            </w:pPr>
            <w:r>
              <w:rPr>
                <w:rFonts w:ascii="Times New Roman" w:hAnsi="Times New Roman" w:cs="Times New Roman"/>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F67" w:rsidRDefault="00980652">
            <w:pPr>
              <w:pStyle w:val="AralkYok"/>
              <w:rPr>
                <w:rFonts w:ascii="Times New Roman" w:hAnsi="Times New Roman" w:cs="Times New Roman"/>
              </w:rPr>
            </w:pPr>
            <w:r>
              <w:rPr>
                <w:rFonts w:ascii="Times New Roman" w:hAnsi="Times New Roman" w:cs="Times New Roman"/>
              </w:rPr>
              <w:t>1</w:t>
            </w:r>
          </w:p>
        </w:tc>
      </w:tr>
      <w:tr w:rsidR="00F66F67">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Default="00980652">
            <w:pPr>
              <w:pStyle w:val="AralkYok"/>
              <w:rPr>
                <w:rFonts w:ascii="Times New Roman" w:hAnsi="Times New Roman" w:cs="Times New Roman"/>
              </w:rPr>
            </w:pPr>
            <w:r>
              <w:rPr>
                <w:rFonts w:ascii="Times New Roman" w:hAnsi="Times New Roman" w:cs="Times New Roman"/>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Default="00F66F67">
            <w:pPr>
              <w:pStyle w:val="AralkYok"/>
              <w:rPr>
                <w:rFonts w:ascii="Times New Roman" w:hAnsi="Times New Roman" w:cs="Times New Roman"/>
              </w:rPr>
            </w:pP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F66F67" w:rsidRDefault="00980652">
            <w:pPr>
              <w:pStyle w:val="AralkYok"/>
              <w:rPr>
                <w:rFonts w:ascii="Times New Roman" w:hAnsi="Times New Roman" w:cs="Times New Roman"/>
              </w:rPr>
            </w:pPr>
            <w:r>
              <w:rPr>
                <w:rFonts w:ascii="Times New Roman" w:hAnsi="Times New Roman" w:cs="Times New Roman"/>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6F67" w:rsidRDefault="00F66F67">
            <w:pPr>
              <w:pStyle w:val="AralkYok"/>
              <w:rPr>
                <w:rFonts w:ascii="Times New Roman" w:hAnsi="Times New Roman" w:cs="Times New Roman"/>
              </w:rPr>
            </w:pPr>
            <w:bookmarkStart w:id="0" w:name="_GoBack"/>
            <w:bookmarkEnd w:id="0"/>
          </w:p>
        </w:tc>
      </w:tr>
    </w:tbl>
    <w:p w:rsidR="00F66F67" w:rsidRDefault="00F66F67">
      <w:pPr>
        <w:pStyle w:val="Standard"/>
        <w:spacing w:after="0" w:line="240" w:lineRule="exact"/>
        <w:ind w:firstLine="709"/>
        <w:jc w:val="center"/>
        <w:rPr>
          <w:rFonts w:ascii="Times New Roman" w:eastAsia="Times New Roman" w:hAnsi="Times New Roman" w:cs="Times New Roman"/>
          <w:color w:val="000000"/>
          <w:lang w:eastAsia="tr-TR"/>
        </w:rPr>
      </w:pPr>
    </w:p>
    <w:p w:rsidR="00F66F67" w:rsidRDefault="00F66F67">
      <w:pPr>
        <w:pStyle w:val="Standard"/>
        <w:tabs>
          <w:tab w:val="left" w:pos="284"/>
          <w:tab w:val="left" w:pos="567"/>
        </w:tabs>
        <w:spacing w:after="0" w:line="240" w:lineRule="exact"/>
        <w:jc w:val="both"/>
        <w:rPr>
          <w:rFonts w:ascii="Times New Roman" w:eastAsia="Times New Roman" w:hAnsi="Times New Roman" w:cs="Times New Roman"/>
          <w:color w:val="000000"/>
          <w:lang w:eastAsia="tr-TR"/>
        </w:rPr>
      </w:pPr>
    </w:p>
    <w:p w:rsidR="00F66F67" w:rsidRDefault="00980652">
      <w:pPr>
        <w:pStyle w:val="Standard"/>
        <w:tabs>
          <w:tab w:val="left" w:pos="284"/>
          <w:tab w:val="left" w:pos="567"/>
        </w:tabs>
        <w:spacing w:after="0" w:line="240" w:lineRule="exact"/>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GÜNDEM MADDELERİ:</w:t>
      </w:r>
    </w:p>
    <w:p w:rsidR="00F66F67" w:rsidRDefault="00F66F67">
      <w:pPr>
        <w:pStyle w:val="Standard"/>
        <w:spacing w:after="0" w:line="240" w:lineRule="exact"/>
        <w:ind w:left="714"/>
        <w:jc w:val="both"/>
        <w:rPr>
          <w:rFonts w:ascii="Times New Roman" w:eastAsia="Times New Roman" w:hAnsi="Times New Roman" w:cs="Times New Roman"/>
          <w:lang w:eastAsia="tr-TR"/>
        </w:rPr>
      </w:pP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Açılış ve Yoklama,</w:t>
      </w:r>
    </w:p>
    <w:p w:rsidR="00F66F67" w:rsidRDefault="00980652">
      <w:pPr>
        <w:pStyle w:val="ListeParagraf"/>
        <w:numPr>
          <w:ilvl w:val="0"/>
          <w:numId w:val="2"/>
        </w:numPr>
        <w:spacing w:after="0" w:line="264" w:lineRule="auto"/>
        <w:ind w:left="714" w:hanging="357"/>
        <w:jc w:val="both"/>
      </w:pPr>
      <w:r>
        <w:rPr>
          <w:rFonts w:ascii="Times New Roman" w:hAnsi="Times New Roman" w:cs="Calibri"/>
        </w:rPr>
        <w:t>Ders zümre başkanı ve yazmanın seçimi,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Bir önceki toplantıya ait zümre kararlarının uygulama sonuçlarının değerlendirilmesi ve uygulamaya yönelik yeni kararların alınması,</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Eğitim ve öğretimle ilgili mevzuat, Türk millî eğitiminin genel amaçları, okulun kuruluş amacı ve ilgili dersin programında belirtilen amaç ve açıklamaların okunarak planlamanın bu doğrultuda yapılması,</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Öğretim programlarında yer alması gereken Atatürkçülükle ilgili konular üzerinde durularak çalışmaların buna göre planlanması,</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Öğretim programında belirtilen kazanım ve davranışlar dikkate alınarak derslerin işlenişinde uygulanacak öğretim yöntem ve teknikleriyle bunların uygulama şeklinin belirlenmesi,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Ünite veya konu ağırlıklarına göre zamanlama yapılması, ünitelendirilmiş yıllık planlar ve ders planlarının hazırlanması, uygulanması ve değerlendirilmesine ilişkin hususların görüşülmesi,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Diğer zümre veya bölüm öğretmenleriyle yapılacak işbirliği esaslarının belirlenmesi,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Bilim ve teknolojideki gelişmelerin, derslere yansıtılmasını sağlayıcı kararlar alınması,</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Derslerin daha verimli işlenebilmesi için ihtiyaç duyulan kitap, araç-gereç ve benzeri öğretim materyalinin belirlenmesi,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Okul ve çevre imkânlarının değerlendirilerek, yapılacak deney, proje, gezi ve gözlemlerin planlanması,</w:t>
      </w:r>
    </w:p>
    <w:p w:rsidR="00F66F67" w:rsidRDefault="00980652">
      <w:pPr>
        <w:pStyle w:val="Standard"/>
        <w:numPr>
          <w:ilvl w:val="0"/>
          <w:numId w:val="2"/>
        </w:numPr>
        <w:spacing w:after="0" w:line="240" w:lineRule="exact"/>
        <w:ind w:left="714" w:hanging="357"/>
        <w:jc w:val="both"/>
      </w:pPr>
      <w:r>
        <w:rPr>
          <w:rFonts w:ascii="Times New Roman" w:eastAsia="Times New Roman" w:hAnsi="Times New Roman" w:cs="Times New Roman"/>
          <w:lang w:eastAsia="tr-TR"/>
        </w:rPr>
        <w:t xml:space="preserve">Öğrenci başarısının ölçülmesi ve değerlendirilmesinde ortak bir anlayışın, birlik ve beraberliğe yönelik belirleyici kararların alınması, (Yazılı/Ortak </w:t>
      </w:r>
      <w:r>
        <w:rPr>
          <w:rFonts w:ascii="Times New Roman" w:eastAsia="Times New Roman" w:hAnsi="Times New Roman" w:cs="Calibri"/>
          <w:lang w:eastAsia="tr-TR"/>
        </w:rPr>
        <w:t xml:space="preserve">Sınavların sayısı, uygulama şekli ve günlerinin tespiti ile </w:t>
      </w:r>
      <w:r>
        <w:rPr>
          <w:rFonts w:ascii="Times New Roman" w:eastAsia="Times New Roman" w:hAnsi="Times New Roman" w:cs="Times New Roman"/>
          <w:lang w:eastAsia="tr-TR"/>
        </w:rPr>
        <w:t>Proje, Performans çalışması ve Ders İçi Performans ölçeklerinin belirlenmesi),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Görsel sanatlar, Müzik, Beden Eğitimi dersleri ile Uygulamalı nitelikteki diğer derslerin değerlendirilmesinde dikkate alınacak hususların tespit edilmesi; sınavların şekil, sayı ve süresiyle ürün değerlendirme ölçütleriyle puanlarının belirlenmesi,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Öğrencilere verilecek proje ve ödev konularının seçimi; öğretim programlarıyla okul ve çevre şartlarının göz önünde bulundurulması,</w:t>
      </w:r>
    </w:p>
    <w:p w:rsidR="00F66F67" w:rsidRDefault="00980652">
      <w:pPr>
        <w:pStyle w:val="ListeParagraf"/>
        <w:numPr>
          <w:ilvl w:val="0"/>
          <w:numId w:val="2"/>
        </w:numPr>
        <w:suppressAutoHyphens w:val="0"/>
        <w:spacing w:after="0" w:line="240" w:lineRule="exact"/>
        <w:ind w:left="714" w:hanging="357"/>
        <w:jc w:val="both"/>
        <w:textAlignment w:val="auto"/>
        <w:rPr>
          <w:rFonts w:ascii="Times New Roman" w:hAnsi="Times New Roman"/>
        </w:rPr>
      </w:pPr>
      <w:r>
        <w:rPr>
          <w:rFonts w:ascii="Times New Roman" w:hAnsi="Times New Roman"/>
        </w:rPr>
        <w:t>Rehberlik Servisi ve öğrenci velileri ile yapılacak işbirliği,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Okulda ve çevrede Türkçenin doğru, güzel, etkili ve kurallarına uygun olarak kullanılması ilgili faaliyetlerin planlanması,</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Öğrencilerin YGS/LYS aldıkları sonuçları ile varsa ulusal ve uluslararası düzeyde katıldıkları çeşitli sınav ve yarışmalarda aldıkları sonuçlara ilişkin başarı ve başarısızlık durumlarının ders bazında değerlendirilmesi,</w:t>
      </w:r>
    </w:p>
    <w:p w:rsidR="00F66F67" w:rsidRDefault="00F66F67">
      <w:pPr>
        <w:pStyle w:val="Standard"/>
        <w:spacing w:after="0" w:line="240" w:lineRule="exact"/>
        <w:ind w:left="714"/>
        <w:jc w:val="both"/>
        <w:rPr>
          <w:rFonts w:ascii="Times New Roman" w:eastAsia="Times New Roman" w:hAnsi="Times New Roman" w:cs="Times New Roman"/>
          <w:lang w:eastAsia="tr-TR"/>
        </w:rPr>
      </w:pPr>
    </w:p>
    <w:p w:rsidR="00F66F67" w:rsidRDefault="00980652">
      <w:pPr>
        <w:pStyle w:val="ListeParagraf"/>
        <w:numPr>
          <w:ilvl w:val="0"/>
          <w:numId w:val="2"/>
        </w:numPr>
        <w:spacing w:after="0" w:line="240" w:lineRule="exact"/>
        <w:jc w:val="both"/>
      </w:pPr>
      <w:r>
        <w:rPr>
          <w:rFonts w:ascii="Times New Roman" w:hAnsi="Times New Roman"/>
          <w:b/>
        </w:rPr>
        <w:t xml:space="preserve">Mesleki ve teknik </w:t>
      </w:r>
      <w:r>
        <w:rPr>
          <w:rFonts w:ascii="Times New Roman" w:hAnsi="Times New Roman"/>
          <w:b/>
          <w:bCs/>
        </w:rPr>
        <w:t xml:space="preserve">ortaöğretim kurumlarında </w:t>
      </w:r>
      <w:r>
        <w:rPr>
          <w:rFonts w:ascii="Times New Roman" w:hAnsi="Times New Roman"/>
          <w:b/>
        </w:rPr>
        <w:t>ayrıca alan/bölüm zümrelerinde;</w:t>
      </w:r>
    </w:p>
    <w:p w:rsidR="00F66F67" w:rsidRDefault="00980652">
      <w:pPr>
        <w:pStyle w:val="Standard"/>
        <w:numPr>
          <w:ilvl w:val="0"/>
          <w:numId w:val="2"/>
        </w:numPr>
        <w:spacing w:after="0" w:line="240" w:lineRule="exact"/>
        <w:ind w:left="714" w:hanging="357"/>
        <w:jc w:val="both"/>
      </w:pPr>
      <w:r>
        <w:rPr>
          <w:rFonts w:ascii="Times New Roman" w:hAnsi="Times New Roman"/>
          <w:bCs/>
        </w:rPr>
        <w:t xml:space="preserve">Öğretim programlarının incelenmesi, programların çevre özellikleri de dikkate alınarak amacına ve içeriğine uygun olarak uygulanması, dal dersleri ve modüllerinin belirlenmesi, </w:t>
      </w:r>
    </w:p>
    <w:p w:rsidR="00F66F67" w:rsidRDefault="00980652">
      <w:pPr>
        <w:pStyle w:val="ListeParagraf"/>
        <w:numPr>
          <w:ilvl w:val="0"/>
          <w:numId w:val="2"/>
        </w:numPr>
        <w:suppressAutoHyphens w:val="0"/>
        <w:spacing w:after="0" w:line="240" w:lineRule="exact"/>
        <w:ind w:left="714" w:hanging="357"/>
        <w:jc w:val="both"/>
        <w:textAlignment w:val="auto"/>
        <w:rPr>
          <w:rFonts w:ascii="Times New Roman" w:hAnsi="Times New Roman"/>
        </w:rPr>
      </w:pPr>
      <w:r>
        <w:rPr>
          <w:rFonts w:ascii="Times New Roman" w:hAnsi="Times New Roman"/>
        </w:rPr>
        <w:t>İşletmelerle işbirliği sonucu alana sağlanacak gelişim fırsatlarının görüşülmesi ve yapılan planlaması,</w:t>
      </w:r>
    </w:p>
    <w:p w:rsidR="00F66F67" w:rsidRDefault="00980652">
      <w:pPr>
        <w:pStyle w:val="Standard"/>
        <w:numPr>
          <w:ilvl w:val="0"/>
          <w:numId w:val="2"/>
        </w:numPr>
        <w:spacing w:after="0" w:line="240" w:lineRule="exact"/>
        <w:ind w:left="714" w:hanging="357"/>
        <w:jc w:val="both"/>
      </w:pPr>
      <w:r>
        <w:rPr>
          <w:rFonts w:ascii="Times New Roman" w:hAnsi="Times New Roman"/>
        </w:rPr>
        <w:t xml:space="preserve">Matematik ve fen bilimleriyle ilgili atölye, laboratuvar ve meslek dersleri arasındaki ortak konuların birlikte ve eş zamanlı yürütülmesi, </w:t>
      </w:r>
    </w:p>
    <w:p w:rsidR="00F66F67" w:rsidRDefault="00980652">
      <w:pPr>
        <w:pStyle w:val="Standard"/>
        <w:numPr>
          <w:ilvl w:val="0"/>
          <w:numId w:val="2"/>
        </w:numPr>
        <w:spacing w:after="0" w:line="240" w:lineRule="exact"/>
        <w:ind w:left="714" w:hanging="357"/>
        <w:jc w:val="both"/>
      </w:pPr>
      <w:r>
        <w:rPr>
          <w:rFonts w:ascii="Times New Roman" w:hAnsi="Times New Roman"/>
        </w:rPr>
        <w:t>Öğrencilerde girişimcilik bilincinin kazandırılmasına yönelik çalışmalar,</w:t>
      </w:r>
    </w:p>
    <w:p w:rsidR="00F66F67" w:rsidRDefault="00980652">
      <w:pPr>
        <w:pStyle w:val="ListeParagraf"/>
        <w:numPr>
          <w:ilvl w:val="0"/>
          <w:numId w:val="2"/>
        </w:numPr>
        <w:suppressAutoHyphens w:val="0"/>
        <w:spacing w:after="0" w:line="240" w:lineRule="exact"/>
        <w:ind w:left="714" w:right="-70" w:hanging="357"/>
        <w:jc w:val="both"/>
        <w:textAlignment w:val="auto"/>
        <w:rPr>
          <w:rFonts w:ascii="Times New Roman" w:hAnsi="Times New Roman"/>
        </w:rPr>
      </w:pPr>
      <w:r>
        <w:rPr>
          <w:rFonts w:ascii="Times New Roman" w:hAnsi="Times New Roman"/>
        </w:rPr>
        <w:t>Alan Tanıtım Sorumlusu 1 alan şefi, 2 atölye şefi ve 3 öğrencinin belirlenmesi,</w:t>
      </w:r>
    </w:p>
    <w:p w:rsidR="00F66F67" w:rsidRDefault="00980652">
      <w:pPr>
        <w:pStyle w:val="ListeParagraf"/>
        <w:numPr>
          <w:ilvl w:val="0"/>
          <w:numId w:val="2"/>
        </w:numPr>
        <w:suppressAutoHyphens w:val="0"/>
        <w:spacing w:after="0" w:line="240" w:lineRule="exact"/>
        <w:ind w:right="-70"/>
        <w:jc w:val="both"/>
        <w:textAlignment w:val="auto"/>
      </w:pPr>
      <w:r>
        <w:rPr>
          <w:rFonts w:ascii="Times New Roman" w:hAnsi="Times New Roman"/>
        </w:rPr>
        <w:t>Mesleki ve teknik eğitimle ilgili proje, yarışma, teknik gezi ve sergi çalışmaları,</w:t>
      </w:r>
    </w:p>
    <w:p w:rsidR="00F66F67" w:rsidRDefault="00980652">
      <w:pPr>
        <w:pStyle w:val="ListeParagraf"/>
        <w:numPr>
          <w:ilvl w:val="0"/>
          <w:numId w:val="2"/>
        </w:numPr>
        <w:suppressAutoHyphens w:val="0"/>
        <w:spacing w:after="0" w:line="240" w:lineRule="exact"/>
        <w:ind w:right="-70"/>
        <w:jc w:val="both"/>
        <w:textAlignment w:val="auto"/>
      </w:pPr>
      <w:r>
        <w:rPr>
          <w:rFonts w:ascii="Times New Roman" w:hAnsi="Times New Roman"/>
        </w:rPr>
        <w:t>Mesleki ve Teknik Öğretim Kurumları iş sağlığı ve güvenliği politika çerçevesi hakkında bilgi verilmesi ve iş kazaları, meslek hastalıklarına karşı alınacak önlemlerin belirlenmesi,</w:t>
      </w:r>
    </w:p>
    <w:p w:rsidR="00F66F67" w:rsidRDefault="00980652">
      <w:pPr>
        <w:pStyle w:val="Standard"/>
        <w:numPr>
          <w:ilvl w:val="0"/>
          <w:numId w:val="2"/>
        </w:numPr>
        <w:spacing w:after="0" w:line="240" w:lineRule="exact"/>
        <w:ind w:left="714"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Dilek ve Temenniler.</w:t>
      </w:r>
    </w:p>
    <w:p w:rsidR="00F66F67" w:rsidRDefault="00F66F67">
      <w:pPr>
        <w:pStyle w:val="Standard"/>
        <w:spacing w:after="0" w:line="240" w:lineRule="exact"/>
        <w:ind w:firstLine="708"/>
        <w:jc w:val="both"/>
        <w:rPr>
          <w:rFonts w:ascii="Times New Roman" w:eastAsia="Times New Roman" w:hAnsi="Times New Roman" w:cs="Times New Roman"/>
          <w:b/>
          <w:bCs/>
          <w:lang w:eastAsia="tr-TR"/>
        </w:rPr>
      </w:pPr>
    </w:p>
    <w:p w:rsidR="00F66F67" w:rsidRDefault="00980652">
      <w:pPr>
        <w:pStyle w:val="Standard"/>
        <w:spacing w:after="0" w:line="240" w:lineRule="exact"/>
        <w:ind w:firstLine="708"/>
        <w:jc w:val="both"/>
      </w:pPr>
      <w:r>
        <w:rPr>
          <w:rFonts w:ascii="Times New Roman" w:eastAsia="Times New Roman" w:hAnsi="Times New Roman" w:cs="Times New Roman"/>
          <w:b/>
          <w:bCs/>
          <w:lang w:eastAsia="tr-TR"/>
        </w:rPr>
        <w:t xml:space="preserve">Not: </w:t>
      </w:r>
      <w:r>
        <w:rPr>
          <w:rFonts w:ascii="Times New Roman" w:eastAsia="Times New Roman" w:hAnsi="Times New Roman" w:cs="Times New Roman"/>
          <w:b/>
          <w:bCs/>
          <w:lang w:eastAsia="tr-TR"/>
        </w:rPr>
        <w:tab/>
        <w:t xml:space="preserve">MADDE 111- </w:t>
      </w:r>
      <w:r>
        <w:rPr>
          <w:rFonts w:ascii="Times New Roman" w:eastAsia="Times New Roman" w:hAnsi="Times New Roman" w:cs="Times New Roman"/>
          <w:lang w:eastAsia="tr-TR"/>
        </w:rPr>
        <w:t xml:space="preserve">(1) Zümre öğretmenler kurulu, okulda aynı dersi okutan öğretmenlerden oluşur. Mesleki ve teknik </w:t>
      </w:r>
      <w:r>
        <w:rPr>
          <w:rFonts w:ascii="Times New Roman" w:eastAsia="Times New Roman" w:hAnsi="Times New Roman" w:cs="Times New Roman"/>
          <w:bCs/>
          <w:lang w:eastAsia="tr-TR"/>
        </w:rPr>
        <w:t xml:space="preserve">ortaöğretim kurumlarında </w:t>
      </w:r>
      <w:r>
        <w:rPr>
          <w:rFonts w:ascii="Times New Roman" w:eastAsia="Times New Roman" w:hAnsi="Times New Roman" w:cs="Times New Roman"/>
          <w:lang w:eastAsia="tr-TR"/>
        </w:rPr>
        <w:t xml:space="preserve">ayrıca </w:t>
      </w:r>
      <w:r>
        <w:rPr>
          <w:rFonts w:ascii="Times New Roman" w:eastAsia="Times New Roman" w:hAnsi="Times New Roman" w:cs="Times New Roman"/>
          <w:u w:val="single"/>
          <w:lang w:eastAsia="tr-TR"/>
        </w:rPr>
        <w:t>uzman</w:t>
      </w:r>
      <w:r>
        <w:rPr>
          <w:rFonts w:ascii="Times New Roman" w:eastAsia="Times New Roman" w:hAnsi="Times New Roman" w:cs="Times New Roman"/>
          <w:lang w:eastAsia="tr-TR"/>
        </w:rPr>
        <w:t xml:space="preserve">, </w:t>
      </w:r>
      <w:r>
        <w:rPr>
          <w:rFonts w:ascii="Times New Roman" w:eastAsia="Times New Roman" w:hAnsi="Times New Roman" w:cs="Times New Roman"/>
          <w:u w:val="single"/>
          <w:lang w:eastAsia="tr-TR"/>
        </w:rPr>
        <w:t>usta öğretici</w:t>
      </w:r>
      <w:r>
        <w:rPr>
          <w:rFonts w:ascii="Times New Roman" w:eastAsia="Times New Roman" w:hAnsi="Times New Roman" w:cs="Times New Roman"/>
          <w:lang w:eastAsia="tr-TR"/>
        </w:rPr>
        <w:t xml:space="preserve">, </w:t>
      </w:r>
      <w:r>
        <w:rPr>
          <w:rFonts w:ascii="Times New Roman" w:eastAsia="Times New Roman" w:hAnsi="Times New Roman" w:cs="Times New Roman"/>
          <w:u w:val="single"/>
          <w:lang w:eastAsia="tr-TR"/>
        </w:rPr>
        <w:t>eğitici personel</w:t>
      </w:r>
      <w:r>
        <w:rPr>
          <w:rFonts w:ascii="Times New Roman" w:eastAsia="Times New Roman" w:hAnsi="Times New Roman" w:cs="Times New Roman"/>
          <w:lang w:eastAsia="tr-TR"/>
        </w:rPr>
        <w:t xml:space="preserve"> ve </w:t>
      </w:r>
      <w:r>
        <w:rPr>
          <w:rFonts w:ascii="Times New Roman" w:eastAsia="Times New Roman" w:hAnsi="Times New Roman" w:cs="Times New Roman"/>
          <w:u w:val="single"/>
          <w:lang w:eastAsia="tr-TR"/>
        </w:rPr>
        <w:t xml:space="preserve">atölye teknisyenleri </w:t>
      </w:r>
      <w:r>
        <w:rPr>
          <w:rFonts w:ascii="Times New Roman" w:eastAsia="Times New Roman" w:hAnsi="Times New Roman" w:cs="Times New Roman"/>
          <w:lang w:eastAsia="tr-TR"/>
        </w:rPr>
        <w:t xml:space="preserve">de </w:t>
      </w:r>
      <w:r>
        <w:rPr>
          <w:rFonts w:ascii="Times New Roman" w:eastAsia="Times New Roman" w:hAnsi="Times New Roman" w:cs="Times New Roman"/>
          <w:u w:val="single"/>
          <w:lang w:eastAsia="tr-TR"/>
        </w:rPr>
        <w:t>zümre öğretmenler</w:t>
      </w:r>
      <w:r>
        <w:rPr>
          <w:rFonts w:ascii="Times New Roman" w:eastAsia="Times New Roman" w:hAnsi="Times New Roman" w:cs="Times New Roman"/>
          <w:lang w:eastAsia="tr-TR"/>
        </w:rPr>
        <w:t xml:space="preserve"> kuruluna katılır. Kurul, ilk toplantısında o eğitim ve öğretim yılı için kendi aralarından birini başkan seçer.</w:t>
      </w:r>
    </w:p>
    <w:p w:rsidR="00F66F67" w:rsidRDefault="00980652">
      <w:pPr>
        <w:pStyle w:val="Standard"/>
        <w:spacing w:after="0" w:line="240" w:lineRule="exact"/>
        <w:ind w:firstLine="708"/>
        <w:jc w:val="both"/>
      </w:pPr>
      <w:r>
        <w:rPr>
          <w:rFonts w:ascii="Times New Roman" w:eastAsia="Times New Roman" w:hAnsi="Times New Roman" w:cs="Times New Roman"/>
          <w:color w:val="000000"/>
          <w:lang w:eastAsia="tr-TR"/>
        </w:rPr>
        <w:t xml:space="preserve">(2)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w:t>
      </w:r>
      <w:r>
        <w:rPr>
          <w:rFonts w:ascii="Times New Roman" w:eastAsia="Times New Roman" w:hAnsi="Times New Roman" w:cs="Times New Roman"/>
          <w:color w:val="000000"/>
          <w:lang w:eastAsia="tr-TR"/>
        </w:rPr>
        <w:lastRenderedPageBreak/>
        <w:t>araçlarını hazırlamak ve sınav analizlerini yapmak üzere her ay belirli bir günde bir araya gelir. Bu toplantılara ayda bir kez okul müdürü veya sorumlu müdür yardımcısı katılır.</w:t>
      </w:r>
    </w:p>
    <w:sectPr w:rsidR="00F66F67">
      <w:pgSz w:w="11906" w:h="16838"/>
      <w:pgMar w:top="1135" w:right="1133" w:bottom="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E3" w:rsidRDefault="007779E3">
      <w:pPr>
        <w:spacing w:after="0" w:line="240" w:lineRule="auto"/>
      </w:pPr>
      <w:r>
        <w:separator/>
      </w:r>
    </w:p>
  </w:endnote>
  <w:endnote w:type="continuationSeparator" w:id="0">
    <w:p w:rsidR="007779E3" w:rsidRDefault="0077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E3" w:rsidRDefault="007779E3">
      <w:pPr>
        <w:spacing w:after="0" w:line="240" w:lineRule="auto"/>
      </w:pPr>
      <w:r>
        <w:rPr>
          <w:color w:val="000000"/>
        </w:rPr>
        <w:separator/>
      </w:r>
    </w:p>
  </w:footnote>
  <w:footnote w:type="continuationSeparator" w:id="0">
    <w:p w:rsidR="007779E3" w:rsidRDefault="00777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F69EA"/>
    <w:multiLevelType w:val="multilevel"/>
    <w:tmpl w:val="147C2E9C"/>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3437023"/>
    <w:multiLevelType w:val="multilevel"/>
    <w:tmpl w:val="8FC633C2"/>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67"/>
    <w:rsid w:val="007779E3"/>
    <w:rsid w:val="00947F1F"/>
    <w:rsid w:val="00980652"/>
    <w:rsid w:val="00A53EE2"/>
    <w:rsid w:val="00F66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201C-A016-4649-910A-7BFB5EF3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mudur</cp:lastModifiedBy>
  <cp:revision>3</cp:revision>
  <cp:lastPrinted>2016-09-02T05:41:00Z</cp:lastPrinted>
  <dcterms:created xsi:type="dcterms:W3CDTF">2017-02-09T06:46:00Z</dcterms:created>
  <dcterms:modified xsi:type="dcterms:W3CDTF">2017-06-16T09:13:00Z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